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912</w:t>
        <w:t xml:space="preserve">.  </w:t>
      </w:r>
      <w:r>
        <w:rPr>
          <w:b/>
        </w:rPr>
        <w:t xml:space="preserve">Capital and management</w:t>
      </w:r>
    </w:p>
    <w:p>
      <w:pPr>
        <w:jc w:val="both"/>
        <w:spacing w:before="100" w:after="0"/>
        <w:ind w:start="360"/>
        <w:ind w:firstLine="360"/>
      </w:pPr>
      <w:r>
        <w:rPr>
          <w:b/>
        </w:rPr>
        <w:t>1</w:t>
        <w:t xml:space="preserve">.  </w:t>
      </w:r>
      <w:r>
        <w:rPr>
          <w:b/>
        </w:rPr>
        <w:t xml:space="preserve">Stock: classes; par value.</w:t>
        <w:t xml:space="preserve"> </w:t>
      </w:r>
      <w:r>
        <w:t xml:space="preserve"> </w:t>
      </w:r>
      <w:r>
        <w:t xml:space="preserve">The capital stock of an industrial bank shall have a par value $100 for each share, and only one class of such stock shall be created.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Management.</w:t>
        <w:t xml:space="preserve"> </w:t>
      </w:r>
      <w:r>
        <w:t xml:space="preserve"> </w:t>
      </w:r>
      <w:r>
        <w:t xml:space="preserve">Except as otherwise provided in this chapter, the management and operations of an industrial bank must be conducted in accordance with the provisions of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§17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2001, c. 2, §B17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§912. Capital and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§912. Capital and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§912. CAPITAL AND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