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453</w:t>
        <w:t xml:space="preserve">.  </w:t>
      </w:r>
      <w:r>
        <w:rPr>
          <w:b/>
        </w:rPr>
        <w:t xml:space="preserve">Annual audits</w:t>
      </w:r>
    </w:p>
    <w:p>
      <w:pPr>
        <w:jc w:val="both"/>
        <w:spacing w:before="100" w:after="0"/>
        <w:ind w:start="360"/>
        <w:ind w:firstLine="360"/>
      </w:pPr>
      <w:r>
        <w:rPr>
          <w:b/>
        </w:rPr>
        <w:t>1</w:t>
        <w:t xml:space="preserve">.  </w:t>
      </w:r>
      <w:r>
        <w:rPr>
          <w:b/>
        </w:rPr>
        <w:t xml:space="preserve">Selection of auditor.</w:t>
        <w:t xml:space="preserve"> </w:t>
      </w:r>
      <w:r>
        <w:t xml:space="preserve"> </w:t>
      </w:r>
      <w:r>
        <w:t xml:space="preserve">The governing body of a financial institution subject to the provisions of this Title shall employ an independent public accountant or accountants at least annually.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I, §38 (AMD).]</w:t>
      </w:r>
    </w:p>
    <w:p>
      <w:pPr>
        <w:jc w:val="both"/>
        <w:spacing w:before="100" w:after="0"/>
        <w:ind w:start="360"/>
        <w:ind w:firstLine="360"/>
      </w:pPr>
      <w:r>
        <w:rPr>
          <w:b/>
        </w:rPr>
        <w:t>2</w:t>
        <w:t xml:space="preserve">.  </w:t>
      </w:r>
      <w:r>
        <w:rPr>
          <w:b/>
        </w:rPr>
        <w:t xml:space="preserve">Duties of auditor.</w:t>
        <w:t xml:space="preserve"> </w:t>
      </w:r>
      <w:r>
        <w:t xml:space="preserve"> </w:t>
      </w:r>
      <w:r>
        <w:t xml:space="preserve">The accountant or auditor selected in </w:t>
      </w:r>
      <w:r>
        <w:t>subsection 1</w:t>
      </w:r>
      <w:r>
        <w:t xml:space="preserve"> shall analyze the books, accounts, notes, mortgages, securities and operating systems of the institution in such manner as in the accountant's or auditor's judgment will result in an audit that, together with the internal auditing and accounting procedures of the institution, comports with generally accepted accounting standards for the protection of depositors, members or stockholders and the efficient operation of the institution.  The accountant or auditor shall make a written report of the condition of the institution to the president and chair of the board, for the board, in such manner and to such extent as the accountant or auditor may consider necessary or proper, and the accountant or auditor shall supply such additional information obtained from the audit as the board may direct.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D, §36 (COR).]</w:t>
      </w:r>
    </w:p>
    <w:p>
      <w:pPr>
        <w:jc w:val="both"/>
        <w:spacing w:before="100" w:after="0"/>
        <w:ind w:start="360"/>
        <w:ind w:firstLine="360"/>
      </w:pPr>
      <w:r>
        <w:rPr>
          <w:b/>
        </w:rPr>
        <w:t>3</w:t>
        <w:t xml:space="preserve">.  </w:t>
      </w:r>
      <w:r>
        <w:rPr>
          <w:b/>
        </w:rPr>
        <w:t xml:space="preserve">Superintendent's comment on audit.</w:t>
        <w:t xml:space="preserve"> </w:t>
      </w:r>
      <w:r>
        <w:t xml:space="preserve"> </w:t>
      </w:r>
      <w:r>
        <w:t xml:space="preserve">The superintendent shall, in the course of the superintendent's regular official examination of the institution and at such other times as the superintendent determines advisable, investigate the work of the accountant or auditor to determine its adequacy for the purposes set forth in </w:t>
      </w:r>
      <w:r>
        <w:t>subsection 2</w:t>
      </w:r>
      <w:r>
        <w:t xml:space="preserve">. In determining the adequacy of such an audit, the superintendent shall take into account the internal auditing and accounting procedures established by the institution.  If the superintendent determines that the audit is inadequate, the superintendent shall report forthwith the superintendent's findings, with instructions, in writing to the directors, who shall, within 30 days after the findings and instructions are reported, comply with the instructions.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D, §37 (COR).]</w:t>
      </w:r>
    </w:p>
    <w:p>
      <w:pPr>
        <w:jc w:val="both"/>
        <w:spacing w:before="100" w:after="0"/>
        <w:ind w:start="360"/>
        <w:ind w:firstLine="360"/>
      </w:pPr>
      <w:r>
        <w:rPr>
          <w:b/>
        </w:rPr>
        <w:t>4</w:t>
        <w:t xml:space="preserve">.  </w:t>
      </w:r>
      <w:r>
        <w:rPr>
          <w:b/>
        </w:rPr>
        <w:t xml:space="preserve">Audit limiting liability.</w:t>
        <w:t xml:space="preserve"> </w:t>
      </w:r>
      <w:r>
        <w:t xml:space="preserve"> </w:t>
      </w:r>
      <w:r>
        <w:t xml:space="preserve">Whenever the directors of a financial institution shall have provided for such audit or audits by the method prescribed and, in the case of the employment, election or appointment of an accountant or auditor by them, shall have taken such action to remedy conditions as may be deemed reasonably necessary in the light of the information disclosed by any report of said accountant or auditor, and shall have complied with all reasonable recommendations of the superintendent relative thereto within the time hereinbefore prescribed, they shall not be personally liable for any loss suffered by such institution due to any subsequent wrongdoing by any officer or employee of the institution, in the absence of other facts indicating negligence on the part of said directors.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398, §I38 (AMD). RR 2025, c. 1, Pt. D, §§36, 37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§453. Annual audits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§453. Annual audits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§453. ANNUAL AUDITS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