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Penalties</w:t>
      </w:r>
    </w:p>
    <w:p>
      <w:pPr>
        <w:jc w:val="both"/>
        <w:spacing w:before="100" w:after="0"/>
        <w:ind w:start="360"/>
        <w:ind w:firstLine="360"/>
      </w:pPr>
      <w:r>
        <w:rPr>
          <w:b/>
        </w:rPr>
        <w:t>1</w:t>
        <w:t xml:space="preserve">.  </w:t>
      </w:r>
      <w:r>
        <w:rPr>
          <w:b/>
        </w:rPr>
        <w:t xml:space="preserve">Violation.</w:t>
        <w:t xml:space="preserve"> </w:t>
      </w:r>
      <w:r>
        <w:t xml:space="preserve"> </w:t>
      </w:r>
      <w:r>
        <w:t xml:space="preserve">Any officer or employee of a financial institution authorized to do business in this State, credit union authorized to do business in this State, affiliate or consumer reporting agency who intentionally or knowingly furnishes financial records in violation of this chapter commits a civil violation for which the superintendent may assess a civil penalty of not more than $5,000 per violation.  Any financial institution authorized to do business in this State or credit union authorized to do business in this State that intentionally or knowingly furnishes financial records in violation of this chapter or intentionally or knowingly allows an affiliate to furnish financial records in violation of this chapter commits a civil violation for which the superintendent may assess a civil penalty of not more than $10,000 per violation.  Any financial institution authorized to do business in this State or credit union authorized to do business in this State or any agent or employee of a financial institution or credit union making a disclosure of financial records in good-faith reliance upon the certificate of agency or person requesting the disclosure, that the provisions of </w:t>
      </w:r>
      <w:r>
        <w:t>section 163</w:t>
      </w:r>
      <w:r>
        <w:t xml:space="preserve"> requiring prior notice to the customer have been complied with, is not liable to the customer for the disclosures and is not liable for any civil penalties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Pt. B, §6 (AMD).]</w:t>
      </w:r>
    </w:p>
    <w:p>
      <w:pPr>
        <w:jc w:val="both"/>
        <w:spacing w:before="100" w:after="0"/>
        <w:ind w:start="360"/>
        <w:ind w:firstLine="360"/>
      </w:pPr>
      <w:r>
        <w:rPr>
          <w:b/>
        </w:rPr>
        <w:t>2</w:t>
        <w:t xml:space="preserve">.  </w:t>
      </w:r>
      <w:r>
        <w:rPr>
          <w:b/>
        </w:rPr>
        <w:t xml:space="preserve">Inducing violation.</w:t>
        <w:t xml:space="preserve"> </w:t>
      </w:r>
      <w:r>
        <w:t xml:space="preserve"> </w:t>
      </w:r>
      <w:r>
        <w:t xml:space="preserve">Any person who intentionally or knowingly induces or attempts to induce any officer or employee of a financial institution authorized to do business in this State, credit union authorized to do business in this State or consumer reporting agency to disclose financial records in violation of this chapter commits a civil violation for which the superintendent may assess a civil penalty of not more than $10,000 per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Pt. B, §6 (AMD).]</w:t>
      </w:r>
    </w:p>
    <w:p>
      <w:pPr>
        <w:jc w:val="both"/>
        <w:spacing w:before="100" w:after="0"/>
        <w:ind w:start="360"/>
        <w:ind w:firstLine="360"/>
      </w:pPr>
      <w:r>
        <w:rPr>
          <w:b/>
        </w:rPr>
        <w:t>3</w:t>
        <w:t xml:space="preserve">.  </w:t>
      </w:r>
      <w:r>
        <w:rPr>
          <w:b/>
        </w:rPr>
        <w:t xml:space="preserve">Immunity.</w:t>
        <w:t xml:space="preserve"> </w:t>
      </w:r>
      <w:r>
        <w:t xml:space="preserve"> </w:t>
      </w:r>
      <w:r>
        <w:t xml:space="preserve">A financial institution authorized to do business in the State or its affiliate or a credit union authorized to do business in the State or its affiliate that in good faith discloses financial records to the Department of Health and Human Services pursuant to </w:t>
      </w:r>
      <w:r>
        <w:t>section 162, subsection 5</w:t>
      </w:r>
      <w:r>
        <w:t xml:space="preserve"> or the Department of Administrative and Financial Services, Bureau of Revenue Services pursuant to </w:t>
      </w:r>
      <w:r>
        <w:t>section 162, subsection 6</w:t>
      </w:r>
      <w:r>
        <w:t xml:space="preserve"> is immune from civil or criminal liability that might otherwise arise from the disclosure.  In a proceeding regarding immunity from liability, there is a rebuttable presumption of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AAAA,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416 (NEW). PL 1985, c. 647, §3 (AMD). PL 1991, c. 824, §A11 (AMD). PL 2001, c. 262, §B6 (AMD). PL 2007, c. 108, §4 (AMD). PL 2009, c. 213, Pt. AAAA,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§164.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