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merchant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merchant bank has been appointed.  The asset pledge requirement may be lifted by the superintendent if the superintendent determines that the condition of the merchant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merchant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merchant bank continues business in the ordinary course, the merchant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merchant bank fails to maintain the minimum required asset pledge, the superintendent may determine that the merchant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§1223-A. Asset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§1223-A. Asset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§1223-A. ASSET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