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1051</w:t>
        <w:t xml:space="preserve">.  </w:t>
      </w:r>
      <w:r>
        <w:rPr>
          <w:b/>
        </w:rPr>
        <w:t xml:space="preserve">Purpose</w:t>
      </w:r>
    </w:p>
    <w:p>
      <w:pPr>
        <w:jc w:val="both"/>
        <w:spacing w:before="100" w:after="100"/>
        <w:ind w:start="360"/>
        <w:ind w:firstLine="360"/>
      </w:pPr>
      <w:r>
        <w:rPr/>
      </w:r>
      <w:r>
        <w:rPr/>
      </w:r>
      <w:r>
        <w:t xml:space="preserve">This chapter authorizes mutual financial institutions to reorganize into mutual holding companies.</w:t>
      </w:r>
      <w:r>
        <w:t xml:space="preserve">  </w:t>
      </w:r>
      <w:r xmlns:wp="http://schemas.openxmlformats.org/drawingml/2010/wordprocessingDrawing" xmlns:w15="http://schemas.microsoft.com/office/word/2012/wordml">
        <w:rPr>
          <w:rFonts w:ascii="Arial" w:hAnsi="Arial" w:cs="Arial"/>
          <w:sz w:val="22"/>
          <w:szCs w:val="22"/>
        </w:rPr>
        <w:t xml:space="preserve">[PL 1985, c. 558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§1051.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