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9-305-B</w:t>
        <w:t xml:space="preserve">.  </w:t>
      </w:r>
      <w:r>
        <w:rPr>
          <w:b/>
        </w:rPr>
        <w:t xml:space="preserve">Timely responses to requests for payoff figures</w:t>
      </w:r>
    </w:p>
    <w:p>
      <w:pPr>
        <w:jc w:val="both"/>
        <w:spacing w:before="100" w:after="100"/>
        <w:ind w:start="360"/>
        <w:ind w:firstLine="360"/>
      </w:pPr>
      <w:r>
        <w:rPr/>
      </w:r>
      <w:r>
        <w:rPr/>
      </w:r>
      <w:r>
        <w:t xml:space="preserve">A creditor, assignee or servicer shall respond to a request for a payoff figure within 3 business days following receipt of such a request from a consumer or an agent of the consumer for a consumer credit transaction secured by a mortgage on real estate.  The response must include a precise payoff figure as of a date certain and must contain information permitting the consumer or the consumer's agent to update that figure, such as providing a per diem rate from a date certain.  A charge may not be assessed for the first 2 requests in any calendar year, and a charge for each subsequent request may not exceed $5.</w:t>
      </w:r>
      <w:r>
        <w:t xml:space="preserve">  </w:t>
      </w:r>
      <w:r xmlns:wp="http://schemas.openxmlformats.org/drawingml/2010/wordprocessingDrawing" xmlns:w15="http://schemas.microsoft.com/office/word/2012/wordml">
        <w:rPr>
          <w:rFonts w:ascii="Arial" w:hAnsi="Arial" w:cs="Arial"/>
          <w:sz w:val="22"/>
          <w:szCs w:val="22"/>
        </w:rPr>
        <w:t xml:space="preserve">[PL 2005,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§9-305-B. Timely responses to requests for payoff figures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§9-305-B. Timely responses to requests for payoff figures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§9-305-B. TIMELY RESPONSES TO REQUESTS FOR PAYOFF FIGURES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