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Consumer's remedies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§6-114. CONSUMER'S REMEDIES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