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§6-112. TEMPORARY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