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Cross-collateral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§3-302. CROSS-COLLATERAL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