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13-113</w:t>
        <w:t xml:space="preserve">.  </w:t>
      </w:r>
      <w:r>
        <w:rPr>
          <w:b/>
        </w:rPr>
        <w:t xml:space="preserve">Surety bond or minimum net worth requirements</w:t>
      </w:r>
    </w:p>
    <w:p>
      <w:pPr>
        <w:jc w:val="both"/>
        <w:spacing w:before="100" w:after="100"/>
        <w:ind w:start="360"/>
        <w:ind w:firstLine="360"/>
      </w:pPr>
      <w:r>
        <w:rPr/>
      </w:r>
      <w:r>
        <w:rPr/>
      </w:r>
      <w:r>
        <w:t xml:space="preserve">Mortgage loan originators must comply with either </w:t>
      </w:r>
      <w:r>
        <w:t>subsection 1</w:t>
      </w:r>
      <w:r>
        <w:t xml:space="preserve"> or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Surety bond.</w:t>
        <w:t xml:space="preserve"> </w:t>
      </w:r>
      <w:r>
        <w:t xml:space="preserve"> </w:t>
      </w:r>
      <w:r>
        <w:t xml:space="preserve">Unless in compliance with </w:t>
      </w:r>
      <w:r>
        <w:t>subsection 2</w:t>
      </w:r>
      <w:r>
        <w:t xml:space="preserve">, a mortgage loan originator must be covered by a surety bond in accordance with this subsection.</w:t>
      </w:r>
    </w:p>
    <w:p>
      <w:pPr>
        <w:jc w:val="both"/>
        <w:spacing w:before="100" w:after="0"/>
        <w:ind w:start="720"/>
      </w:pPr>
      <w:r>
        <w:rPr/>
        <w:t>A</w:t>
        <w:t xml:space="preserve">.  </w:t>
      </w:r>
      <w:r>
        <w:rPr/>
      </w:r>
      <w:r>
        <w:t xml:space="preserve">In the event that the mortgage loan originator is an employee or exclusive agent of a person subject to this Article, the surety bond of that person subject to this Article can be used in lieu of the mortgage loan originator’s surety bond requirement.</w:t>
      </w:r>
    </w:p>
    <w:p>
      <w:pPr>
        <w:jc w:val="both"/>
        <w:spacing w:before="100" w:after="0"/>
        <w:ind w:start="1080"/>
      </w:pPr>
      <w:r>
        <w:rPr/>
        <w:t>(</w:t>
        <w:t>1</w:t>
        <w:t xml:space="preserve">)  </w:t>
      </w:r>
      <w:r>
        <w:rPr/>
      </w:r>
      <w:r>
        <w:t xml:space="preserve">The surety bond must provide coverage for each mortgage loan originator in an amount prescribed in </w:t>
      </w:r>
      <w:r>
        <w:t>paragraph B</w:t>
      </w:r>
      <w:r>
        <w:t xml:space="preserve">.</w:t>
      </w:r>
    </w:p>
    <w:p>
      <w:pPr>
        <w:jc w:val="both"/>
        <w:spacing w:before="100" w:after="0"/>
        <w:ind w:start="1080"/>
      </w:pPr>
      <w:r>
        <w:rPr/>
        <w:t>(</w:t>
        <w:t>2</w:t>
        <w:t xml:space="preserve">)  </w:t>
      </w:r>
      <w:r>
        <w:rPr/>
      </w:r>
      <w:r>
        <w:t xml:space="preserve">The surety bond must be in a form prescribed by the administrator.</w:t>
      </w:r>
    </w:p>
    <w:p>
      <w:pPr>
        <w:jc w:val="both"/>
        <w:spacing w:before="100" w:after="0"/>
        <w:ind w:start="1080"/>
      </w:pPr>
      <w:r>
        <w:rPr/>
        <w:t>(</w:t>
        <w:t>3</w:t>
        <w:t xml:space="preserve">)  </w:t>
      </w:r>
      <w:r>
        <w:rPr/>
      </w:r>
      <w:r>
        <w:t xml:space="preserve">The administrator may adopt rules with respect to the requirements for surety bonds necessary to accomplish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penal sum of the surety bond must be maintained in an amount established by rule.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When an action is commenced on a licensee's bond, the administrator may require the filing of a new bond.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Immediately on recovery upon any action on the bond the licensee shall file a new bond.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2</w:t>
        <w:t xml:space="preserve">.  </w:t>
      </w:r>
      <w:r>
        <w:rPr>
          <w:b/>
        </w:rPr>
        <w:t xml:space="preserve">Minimum net worth.</w:t>
        <w:t xml:space="preserve"> </w:t>
      </w:r>
      <w:r>
        <w:t xml:space="preserve"> </w:t>
      </w:r>
      <w:r>
        <w:t xml:space="preserve">Unless in compliance with </w:t>
      </w:r>
      <w:r>
        <w:t>subsection 1</w:t>
      </w:r>
      <w:r>
        <w:t xml:space="preserve">, a minimum net worth must be continuously maintained for mortgage loan originators in accordance with this subsection and </w:t>
      </w:r>
      <w:r>
        <w:t>section 13‑105, subsection 6</w:t>
      </w:r>
      <w:r>
        <w:t xml:space="preserve">.  In the event that the mortgage loan originator is an employee or exclusive agent of a person subject to this Article, the net worth of that person subject to this Article can be used in lieu of the mortgage loan originator’s minimum net worth requirement.</w:t>
      </w:r>
    </w:p>
    <w:p>
      <w:pPr>
        <w:jc w:val="both"/>
        <w:spacing w:before="100" w:after="0"/>
        <w:ind w:start="720"/>
      </w:pPr>
      <w:r>
        <w:rPr/>
        <w:t>A</w:t>
        <w:t xml:space="preserve">.  </w:t>
      </w:r>
      <w:r>
        <w:rPr/>
      </w:r>
      <w:r>
        <w:t xml:space="preserve">Minimum net worth must be maintained in an amount determined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administrator may adopt rules with respect to the requirements for minimum net worth necessary to accomplish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§13-113. Surety bond or minimum net worth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§13-113. Surety bond or minimum net worth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§13-113. SURETY BOND OR MINIMUM NET WORTH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