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11-104</w:t>
        <w:t xml:space="preserve">.  </w:t>
      </w:r>
      <w:r>
        <w:rPr>
          <w:b/>
        </w:rPr>
        <w:t xml:space="preserve">Application</w:t>
      </w:r>
    </w:p>
    <w:p>
      <w:pPr>
        <w:jc w:val="both"/>
        <w:spacing w:before="100" w:after="100"/>
        <w:ind w:start="360"/>
        <w:ind w:firstLine="360"/>
      </w:pPr>
      <w:r>
        <w:rPr/>
      </w:r>
      <w:r>
        <w:rPr/>
      </w:r>
      <w:r>
        <w:t xml:space="preserve">This Article applies to rental-purchase agreements or acts, practices or conduct related to a rental-purchase agreement if:</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360"/>
        <w:ind w:firstLine="360"/>
      </w:pPr>
      <w:r>
        <w:rPr>
          <w:b/>
        </w:rPr>
        <w:t>1</w:t>
        <w:t xml:space="preserve">.  </w:t>
      </w:r>
      <w:r>
        <w:rPr>
          <w:b/>
        </w:rPr>
      </w:r>
      <w:r>
        <w:t xml:space="preserve"> </w:t>
      </w:r>
      <w:r>
        <w:t xml:space="preserve">The rental-purchase agreement is entered into in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2</w:t>
        <w:t xml:space="preserve">.  </w:t>
      </w:r>
      <w:r>
        <w:rPr>
          <w:b/>
        </w:rPr>
      </w:r>
      <w:r>
        <w:t xml:space="preserve"> </w:t>
      </w:r>
      <w:r>
        <w:t xml:space="preserve">The consumer is a resident of this State at the time the merchant, wherever located, offering the rental-purchase agreement solicits the rental-purchase agreement or modification of the rental-purchase agreement in this State, whether the solicitation is made personally, by mail or by telephone.</w:t>
      </w:r>
    </w:p>
    <w:p>
      <w:pPr>
        <w:jc w:val="both"/>
        <w:spacing w:before="100" w:after="0"/>
        <w:ind w:start="360"/>
      </w:pPr>
      <w:r>
        <w:rPr/>
      </w:r>
      <w:r>
        <w:rPr/>
      </w:r>
      <w:r>
        <w:t xml:space="preserve">For the purposes of this Article, the residence of the consumer is the address given by the consumer as the consumer's residence in any writing signed by the consumer in connection with the rental-purchase agreement.  Unless the consumer notifies the merchant of a new or different residence address, the given residence address is presumed to be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