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§919. Use of name "industrial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Use of name "industrial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§919. USE OF NAME "INDUSTRIAL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