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875</w:t>
        <w:t xml:space="preserve">.  </w:t>
      </w:r>
      <w:r>
        <w:rPr>
          <w:b/>
        </w:rPr>
        <w:t xml:space="preserve">Conversion: change in type of state charter</w:t>
      </w:r>
    </w:p>
    <w:p>
      <w:pPr>
        <w:jc w:val="both"/>
        <w:spacing w:before="100" w:after="100"/>
        <w:ind w:start="360"/>
        <w:ind w:firstLine="360"/>
      </w:pPr>
      <w:r>
        <w:rPr/>
      </w:r>
      <w:r>
        <w:rPr/>
      </w:r>
      <w:r>
        <w:t xml:space="preserve">A credit union subject to the laws of this State may convert its charter to do business as a credit union into a charter to do business as a financial institution organized under </w:t>
      </w:r>
      <w:r>
        <w:t>chapter 32</w:t>
      </w:r>
      <w:r>
        <w:t xml:space="preserve"> if any plan of conversion authorized by this section is adopted and approved in accordance with the requirements of </w:t>
      </w:r>
      <w:r>
        <w:t>section 343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K,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§875. Conversion: change in type of state charter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§875. Conversion: change in type of state charter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§875. CONVERSION: CHANGE IN TYPE OF STATE CHARTER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