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§872-A. Authority for expedited mergers, consolidations and acquisitions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§872-A. AUTHORITY FOR EXPEDITED MERGERS, CONSOLIDATIONS AND ACQUISITIONS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