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Fiscal year</w:t>
      </w:r>
    </w:p>
    <w:p>
      <w:pPr>
        <w:jc w:val="both"/>
        <w:spacing w:before="100" w:after="100"/>
        <w:ind w:start="360"/>
        <w:ind w:firstLine="360"/>
      </w:pPr>
      <w:r>
        <w:rPr/>
      </w:r>
      <w:r>
        <w:rPr/>
      </w:r>
      <w:r>
        <w:t xml:space="preserve">The fiscal year of a credit union shall end as of the close of business on the last business day of December.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§834.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§834.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