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342-A</w:t>
        <w:t xml:space="preserve">.  </w:t>
      </w:r>
      <w:r>
        <w:rPr>
          <w:b/>
        </w:rPr>
        <w:t xml:space="preserve">Authority for expedited conversion to new charter; federal to state</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when a charter conversion is approved by the directors of a financial institution authorized to do business in this State and that charter conversion is necessary for the protection of depositors, shareholders or the public and following compliance with any applicable requirements of federal law, the superintendent may order that the charter conversion become effective immediately.  Any person aggrieved by a charter conversion executed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§342-A. Authority for expedited conversion to new charter; federal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§342-A. Authority for expedited conversion to new charter; federal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§342-A. AUTHORITY FOR EXPEDITED CONVERSION TO NEW CHARTER; FEDERAL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