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w:t>
        <w:t xml:space="preserve">.  </w:t>
      </w:r>
      <w:r>
        <w:rPr>
          <w:b/>
        </w:rPr>
        <w:t xml:space="preserve">Registration</w:t>
      </w:r>
    </w:p>
    <w:p>
      <w:pPr>
        <w:jc w:val="both"/>
        <w:spacing w:before="100" w:after="0"/>
        <w:ind w:start="360"/>
        <w:ind w:firstLine="360"/>
      </w:pPr>
      <w:r>
        <w:rPr>
          <w:b/>
        </w:rPr>
        <w:t>1</w:t>
        <w:t xml:space="preserve">.  </w:t>
      </w:r>
      <w:r>
        <w:rPr>
          <w:b/>
        </w:rPr>
        <w:t xml:space="preserve">Requirements.</w:t>
        <w:t xml:space="preserve"> </w:t>
      </w:r>
      <w:r>
        <w:t xml:space="preserve"> </w:t>
      </w:r>
      <w:r>
        <w:t xml:space="preserve">Any company that controls one or more Maine financial institutions shall register with the superintendent in accordance with procedures established by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Time limitation.</w:t>
        <w:t xml:space="preserve"> </w:t>
      </w:r>
      <w:r>
        <w:t xml:space="preserve"> </w:t>
      </w:r>
      <w:r>
        <w:t xml:space="preserve">Unless the superintendent allows an additional time, registration must be completed within 180 days after October 1, 1975, or after the company acquires control of a Maine financial institution, whichever is later.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§39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1997, c. 2, §39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§1012.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§1012.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