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ORGANIZATION AND MANAGEMENT OF INVESTOR-OWNED INSTITUTIONS</w:t>
      </w:r>
    </w:p>
    <w:p>
      <w:pPr>
        <w:jc w:val="both"/>
        <w:spacing w:before="100" w:after="100"/>
        <w:ind w:start="1080" w:hanging="720"/>
      </w:pPr>
      <w:r>
        <w:rPr>
          <w:b/>
        </w:rPr>
        <w:t>§</w:t>
        <w:t>311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corporations, limited liability companies, limited partnerships and limited liability partnerships.  Unless otherwise indicated in this Title, the provisions of </w:t>
      </w:r>
      <w:r>
        <w:t>Title 13‑C</w:t>
      </w:r>
      <w:r>
        <w:t xml:space="preserve"> apply to financial institutions operating as corporations; </w:t>
      </w:r>
      <w:r>
        <w:t>Title 31, chapter 19</w:t>
      </w:r>
      <w:r>
        <w:t xml:space="preserve"> applies to financial institutions operating as limited partnerships; </w:t>
      </w:r>
      <w:r>
        <w:t>Title 31, chapter 21</w:t>
      </w:r>
      <w:r>
        <w:t xml:space="preserve"> applies to financial institutions operating as limited liability companies; and </w:t>
      </w:r>
      <w:r>
        <w:t>Title 31, chapter 15</w:t>
      </w:r>
      <w:r>
        <w:t xml:space="preserve"> applies to financial institutions operating as limited liability partnerships.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670, §3 (AMD). PL 1997, c. 398, §C2 (AMD). RR 2001, c. 2, §B7 (COR). RR 2001, c. 2, §B58 (AFF). PL 2005, c. 543, §D1 (AMD). PL 2005, c. 543, §D18 (AFF). PL 2009, c. 629, Pt. A, §3 (AFF). PL 2009, c. 629, Pt. B, §1 (AMD). </w:t>
      </w:r>
    </w:p>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jc w:val="both"/>
        <w:spacing w:before="100" w:after="100"/>
        <w:ind w:start="1080" w:hanging="720"/>
      </w:pPr>
      <w:r>
        <w:rPr>
          <w:b/>
        </w:rPr>
        <w:t>§</w:t>
        <w:t>313-A</w:t>
        <w:t xml:space="preserve">.  </w:t>
      </w:r>
      <w:r>
        <w:rPr>
          <w:b/>
        </w:rPr>
        <w:t xml:space="preserve">Certificate to commence business</w:t>
      </w:r>
    </w:p>
    <w:p>
      <w:pPr>
        <w:jc w:val="both"/>
        <w:spacing w:before="100" w:after="0"/>
        <w:ind w:start="360"/>
        <w:ind w:firstLine="360"/>
      </w:pPr>
      <w:r>
        <w:rPr>
          <w:b/>
        </w:rPr>
        <w:t>1</w:t>
        <w:t xml:space="preserve">.  </w:t>
      </w:r>
      <w:r>
        <w:rPr>
          <w:b/>
        </w:rPr>
        <w:t xml:space="preserve">Requirements.</w:t>
        <w:t xml:space="preserve"> </w:t>
      </w:r>
      <w:r>
        <w:t xml:space="preserve"> </w:t>
      </w:r>
      <w:r>
        <w:t xml:space="preserve">A corporation, limited liability company, limited partnership or limited liability partnership that has received a certificate of public convenience and advantage to conduct business as a financial institution may not commence business until the superintendent certifies in writing that the required capital has actually been paid in and that all other terms and conditions contained in the certificate of public convenience and advantage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w:pPr>
        <w:jc w:val="both"/>
        <w:spacing w:before="100" w:after="100"/>
        <w:ind w:start="360"/>
        <w:ind w:firstLine="360"/>
      </w:pPr>
      <w:r>
        <w:rPr>
          <w:b/>
        </w:rPr>
        <w:t>2</w:t>
        <w:t xml:space="preserve">.  </w:t>
      </w:r>
      <w:r>
        <w:rPr>
          <w:b/>
        </w:rPr>
        <w:t xml:space="preserve">Failure to commence business.</w:t>
        <w:t xml:space="preserve"> </w:t>
      </w:r>
      <w:r>
        <w:t xml:space="preserve"> </w:t>
      </w:r>
      <w:r>
        <w:t xml:space="preserve">The following provisions apply to an entity authorized to conduct business as a financial institution that fails to commence business.</w:t>
      </w:r>
    </w:p>
    <w:p>
      <w:pPr>
        <w:jc w:val="both"/>
        <w:spacing w:before="100" w:after="0"/>
        <w:ind w:start="720"/>
      </w:pPr>
      <w:r>
        <w:rPr/>
        <w:t>A</w:t>
        <w:t xml:space="preserve">.  </w:t>
      </w:r>
      <w:r>
        <w:rPr/>
      </w:r>
      <w:r>
        <w:t xml:space="preserve">Any corporation, limited liability company, limited partnership or limited liability partnership authorized to conduct business as a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organizational documents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B</w:t>
        <w:t xml:space="preserve">.  </w:t>
      </w:r>
      <w:r>
        <w:rPr/>
      </w:r>
      <w:r>
        <w:t xml:space="preserve">Upon a forfeiture pursuant to </w:t>
      </w:r>
      <w:r>
        <w:t>paragraph A</w:t>
      </w:r>
      <w:r>
        <w:t xml:space="preserve">, the subscribers to the stock of the institution are entitled to a return of any amounts they have paid to the institution as consideration for its shares.  The original incorporators shall bear the expenses incurred in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C</w:t>
        <w:t xml:space="preserve">.  </w:t>
      </w:r>
      <w:r>
        <w:rPr/>
      </w:r>
      <w:r>
        <w:t xml:space="preserve">Upon the failure to commence business within one year and the forfeiture of the certificate of public convenience and advantage and any other certificate to commence business, the corporation, limited liability company, limited partnership or limited liability partnership or the organizers of the entity may not submit another application for permission to conduct business as a financial institution under </w:t>
      </w:r>
      <w:r>
        <w:t>section 312</w:t>
      </w:r>
      <w:r>
        <w:t xml:space="preserve"> for at least one year from the date of this forfeiture.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must be commenced for a period not to exceed 6 months upon written application by the institution setting forth the reasons for the extension.  If an extension is granted by the superintendent, the superintendent shall notify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§C10 (NEW). </w:t>
      </w:r>
    </w:p>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jc w:val="both"/>
        <w:spacing w:before="100" w:after="100"/>
        <w:ind w:start="1080" w:hanging="720"/>
      </w:pPr>
      <w:r>
        <w:rPr>
          <w:b/>
        </w:rPr>
        <w:t>§</w:t>
        <w:t>318</w:t>
        <w:t xml:space="preserve">.  </w:t>
      </w:r>
      <w:r>
        <w:rPr>
          <w:b/>
        </w:rPr>
        <w:t xml:space="preserve">Dividends, distributions and withdrawals</w:t>
      </w:r>
    </w:p>
    <w:p>
      <w:pPr>
        <w:jc w:val="both"/>
        <w:spacing w:before="100" w:after="0"/>
        <w:ind w:start="360"/>
        <w:ind w:firstLine="360"/>
      </w:pPr>
      <w:r>
        <w:rPr>
          <w:b/>
        </w:rPr>
        <w:t>1</w:t>
        <w:t xml:space="preserve">.  </w:t>
      </w:r>
      <w:r>
        <w:rPr>
          <w:b/>
        </w:rPr>
        <w:t xml:space="preserve">Limitation.</w:t>
        <w:t xml:space="preserve"> </w:t>
      </w:r>
      <w:r>
        <w:t xml:space="preserve"> </w:t>
      </w:r>
      <w:r>
        <w:t xml:space="preserve">A financial institution organized pursuant to this chapter may not authorize dividends, distributions or withdrawals that reduce capital below the higher of the amount required under the certificate of public convenience and advantage or </w:t>
      </w:r>
      <w:r>
        <w:t>section 412‑A</w:t>
      </w:r>
      <w:r>
        <w:t xml:space="preserve">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Form.</w:t>
        <w:t xml:space="preserve"> </w:t>
      </w:r>
      <w:r>
        <w:t xml:space="preserve"> </w:t>
      </w:r>
      <w:r>
        <w:t xml:space="preserve">Dividends, distributions and withdrawals must be in cash or in additional shares, members' interests or partnership interests unless otherwise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ORGANIZATION AND MANAGEMENT OF INVESTOR-OWNED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ORGANIZATION AND MANAGEMENT OF INVESTOR-OWNED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31. ORGANIZATION AND MANAGEMENT OF INVESTOR-OWNED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