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POLICY</w:t>
      </w:r>
    </w:p>
    <w:p>
      <w:pPr>
        <w:jc w:val="both"/>
        <w:spacing w:before="100" w:after="100"/>
        <w:ind w:start="1080" w:hanging="720"/>
      </w:pPr>
      <w:r>
        <w:rPr>
          <w:b/>
        </w:rPr>
        <w:t>§</w:t>
        <w:t>111</w:t>
        <w:t xml:space="preserve">.  </w:t>
      </w:r>
      <w:r>
        <w:rPr>
          <w:b/>
        </w:rPr>
        <w:t xml:space="preserve">Declaration of policy</w:t>
      </w:r>
    </w:p>
    <w:p>
      <w:pPr>
        <w:jc w:val="both"/>
        <w:spacing w:before="100" w:after="100"/>
        <w:ind w:start="360"/>
        <w:ind w:firstLine="360"/>
      </w:pPr>
      <w:r>
        <w:rPr/>
      </w:r>
      <w:r>
        <w:rPr/>
      </w:r>
      <w:r>
        <w:t xml:space="preserve">By enactment of this Title, it is declared to be the policy of the State that the business of all financial institutions must be supervised by the Bureau of Financial Institutions in a manner to ensure the strength, stability and efficiency of all financial institutions; to ensure reasonable and orderly competition, thereby encouraging the development and expansion of financial services advantageous to the public welfare; and to maintain close cooperation with other supervisory authorities.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w:pPr>
        <w:jc w:val="both"/>
        <w:spacing w:before="100" w:after="100"/>
        <w:ind w:start="360"/>
        <w:ind w:firstLine="360"/>
      </w:pPr>
      <w:r>
        <w:rPr/>
      </w:r>
      <w:r>
        <w:rPr/>
      </w:r>
      <w:r>
        <w:t xml:space="preserve">In addition, with respect to the Bureau of Financial Institutions' authority pursuant to </w:t>
      </w:r>
      <w:r>
        <w:t>Title 9‑A, section 1‑301, subsection 2</w:t>
      </w:r>
      <w:r>
        <w:t xml:space="preserve">, all financial institutions must be supervised in such a way as to protect consumers against unfair practices by financial institutions that provide consumer credit, to provide consumer education and to encourage the development of economically sound credit practices.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§14 (AMD). PL 1995, c. 309, §29 (AFF). PL 2001, c. 44, §2 (AMD). PL 2001, c. 44, §14 (AFF). </w:t>
      </w:r>
    </w:p>
    <w:p>
      <w:pPr>
        <w:jc w:val="both"/>
        <w:spacing w:before="100" w:after="100"/>
        <w:ind w:start="1080" w:hanging="720"/>
      </w:pPr>
      <w:r>
        <w:rPr>
          <w:b/>
        </w:rPr>
        <w:t>§</w:t>
        <w:t>112</w:t>
        <w:t xml:space="preserve">.  </w:t>
      </w:r>
      <w:r>
        <w:rPr>
          <w:b/>
        </w:rPr>
        <w:t xml:space="preserve">Severability</w:t>
      </w:r>
    </w:p>
    <w:p>
      <w:pPr>
        <w:jc w:val="both"/>
        <w:spacing w:before="100" w:after="100"/>
        <w:ind w:start="360"/>
        <w:ind w:firstLine="360"/>
      </w:pPr>
      <w:r>
        <w:rPr/>
      </w:r>
      <w:r>
        <w:rPr/>
      </w:r>
      <w:r>
        <w:t xml:space="preserve">If any provision of this Title or the application of this Title to any person or circumstance is held invalid, the invalidity does not affect other provisions or applications of this Title that can be given effect without the invalid provision or application, and to this end the provisions of this Title are severable.</w:t>
      </w:r>
      <w:r>
        <w:t xml:space="preserve">  </w:t>
      </w:r>
      <w:r xmlns:wp="http://schemas.openxmlformats.org/drawingml/2010/wordprocessingDrawing" xmlns:w15="http://schemas.microsoft.com/office/word/2012/wordml">
        <w:rPr>
          <w:rFonts w:ascii="Arial" w:hAnsi="Arial" w:cs="Arial"/>
          <w:sz w:val="22"/>
          <w:szCs w:val="22"/>
        </w:rPr>
        <w:t xml:space="preserve">[RR 1991,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1991, c. 2,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