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9-309</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1999, c. 150,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§9-309. Real estate appraisals;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§9-309. Real estate appraisals;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§9-309. REAL ESTATE APPRAISALS;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