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Attorney's fees and collection costs</w:t>
      </w:r>
    </w:p>
    <w:p>
      <w:pPr>
        <w:jc w:val="both"/>
        <w:spacing w:before="100" w:after="0"/>
        <w:ind w:start="360"/>
        <w:ind w:firstLine="360"/>
      </w:pPr>
      <w:r>
        <w:rPr>
          <w:b/>
        </w:rPr>
        <w:t>1</w:t>
        <w:t xml:space="preserve">.  </w:t>
      </w:r>
      <w:r>
        <w:rPr>
          <w:b/>
        </w:rPr>
      </w:r>
      <w:r>
        <w:t xml:space="preserve"> </w:t>
      </w:r>
      <w:r>
        <w:t xml:space="preserve">With respect to a consumer credit sale or lease, or a supervised loan, the agreement may not provide for the payment by the consumer of attorney's fees or any other collection cost. 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any other consumer credit transaction, the agreement may provide for the payment by the debtor of reasonable attorney's fees not in excess of 15% of the unpaid debt after default and referral to an attorney not a salaried employee of the creditor, but the agreement may not provide for the payment by the consumer of any other collection costs. A provision in violation of this subsection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§2 (AMD). PL 1981, c. 618,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Attorney's fees and collection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Attorney's fees and collection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§2-507. ATTORNEY'S FEES AND COLLECTION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