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13-118</w:t>
        <w:t xml:space="preserve">.  </w:t>
      </w:r>
      <w:r>
        <w:rPr>
          <w:b/>
        </w:rPr>
        <w:t xml:space="preserve">Unique identifier shown</w:t>
      </w:r>
    </w:p>
    <w:p>
      <w:pPr>
        <w:jc w:val="both"/>
        <w:spacing w:before="100" w:after="100"/>
        <w:ind w:start="360"/>
        <w:ind w:firstLine="360"/>
      </w:pPr>
      <w:r>
        <w:rPr/>
      </w:r>
      <w:r>
        <w:rPr/>
      </w:r>
      <w:r>
        <w:t xml:space="preserve">The unique identifier of any person originating a residential mortgage loan must be clearly shown on all residential mortgage loan application forms, solicitations or advertisements, including business cards or publicly accessible websites and any other documents as established by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§13-118. Unique identifier shown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§13-118. Unique identifier shown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§13-118. UNIQUE IDENTIFIER SHOWN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