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§10-309. Rate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Rate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§10-309. RATE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