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10-304</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A loan broker may not engage in this State in false or misleading advertising concerning the terms and conditions of any services or assistance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(AMD).]</w:t>
      </w:r>
    </w:p>
    <w:p>
      <w:pPr>
        <w:jc w:val="both"/>
        <w:spacing w:before="100" w:after="0"/>
        <w:ind w:start="360"/>
        <w:ind w:firstLine="360"/>
      </w:pPr>
      <w:r>
        <w:rPr>
          <w:b/>
        </w:rPr>
        <w:t>2</w:t>
        <w:t xml:space="preserve">.  </w:t>
      </w:r>
      <w:r>
        <w:rPr>
          <w:b/>
        </w:rPr>
      </w:r>
      <w:r>
        <w:t xml:space="preserve"> </w:t>
      </w:r>
      <w:r>
        <w:t xml:space="preserve">This section imposes no liability on the owner or personnel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w:pPr>
        <w:jc w:val="both"/>
        <w:spacing w:before="100" w:after="0"/>
        <w:ind w:start="360"/>
        <w:ind w:firstLine="360"/>
      </w:pPr>
      <w:r>
        <w:rPr>
          <w:b/>
        </w:rPr>
        <w:t>3</w:t>
        <w:t xml:space="preserve">.  </w:t>
      </w:r>
      <w:r>
        <w:rPr>
          <w:b/>
        </w:rPr>
      </w:r>
      <w:r>
        <w:t xml:space="preserve"> </w:t>
      </w:r>
      <w:r>
        <w:t xml:space="preserve">A loan broker shall include its license number in all print advertising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§10-304.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§10-304.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§10-304.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