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422</w:t>
        <w:t xml:space="preserve">.  </w:t>
      </w:r>
      <w:r>
        <w:rPr>
          <w:b/>
        </w:rPr>
        <w:t xml:space="preserve">Fiscal year</w:t>
      </w:r>
    </w:p>
    <w:p>
      <w:pPr>
        <w:jc w:val="both"/>
        <w:spacing w:before="100" w:after="100"/>
        <w:ind w:start="360"/>
        <w:ind w:firstLine="360"/>
      </w:pPr>
      <w:r>
        <w:rPr/>
      </w:r>
      <w:r>
        <w:rPr/>
      </w:r>
      <w:r>
        <w:t xml:space="preserve">The fiscal year of the Tri-state Lotto Commission shall be from July 1st of one calendar year to June 30th of the succeeding calendar year.</w:t>
      </w:r>
      <w:r>
        <w:t xml:space="preserve">  </w:t>
      </w:r>
      <w:r xmlns:wp="http://schemas.openxmlformats.org/drawingml/2010/wordprocessingDrawing" xmlns:w15="http://schemas.microsoft.com/office/word/2012/wordml">
        <w:rPr>
          <w:rFonts w:ascii="Arial" w:hAnsi="Arial" w:cs="Arial"/>
          <w:sz w:val="22"/>
          <w:szCs w:val="22"/>
        </w:rPr>
        <w:t xml:space="preserve">[PL 1983, c. 732,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732,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§422. Fiscal year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§422. Fiscal year</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8, §422. FISCAL YEAR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