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418</w:t>
        <w:t xml:space="preserve">.  </w:t>
      </w:r>
      <w:r>
        <w:rPr>
          <w:b/>
        </w:rPr>
        <w:t xml:space="preserve">Duration of commission and Tri-state Lotto</w:t>
      </w:r>
    </w:p>
    <w:p>
      <w:pPr>
        <w:jc w:val="both"/>
        <w:spacing w:before="100" w:after="100"/>
        <w:ind w:start="360"/>
        <w:ind w:firstLine="360"/>
      </w:pPr>
      <w:r>
        <w:rPr/>
      </w:r>
      <w:r>
        <w:rPr/>
      </w:r>
      <w:r>
        <w:t xml:space="preserve">The commission and Tri-state Lotto shall continue in existence until this compact is revoked by all of the party states.  The withdrawal of one party state shall not render the compact invalid between the remaining states.</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§418. Duration of commission and Tri-state Lotto</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§418. Duration of commission and Tri-state Lotto</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§418. DURATION OF COMMISSION AND TRI-STATE LOTTO</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