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Persons under 18 years; payment of prizes</w:t>
      </w:r>
    </w:p>
    <w:p>
      <w:pPr>
        <w:jc w:val="both"/>
        <w:spacing w:before="100" w:after="100"/>
        <w:ind w:start="360"/>
        <w:ind w:firstLine="360"/>
      </w:pPr>
      <w:r>
        <w:rPr/>
      </w:r>
      <w:r>
        <w:rPr/>
      </w:r>
      <w:r>
        <w:t xml:space="preserve">If the person entitled to a prize  on any winning ticket is under  18 years  of age, the director or the director's designee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guardian as custodian for the minor.  The person named as custodian has the same duties and powers as a person designated as a custodian in a manner prescribed by the Maine Uniform Transfers to Minors Act.  For purposes of this section, the terms "adult member of  the minor's family,"   "custodian" and   "financial institution" have the same meanings as set out in that Act.  The director or the director's designee is relieved of all further liability upon payment of a prize to a minor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1993, c. 1, §18 (COR). PL 2013, c. 352,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 Persons under 18 years;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Persons under 18 years;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§385. PERSONS UNDER 18 YEARS;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