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270-A</w:t>
        <w:t xml:space="preserve">.  </w:t>
      </w:r>
      <w:r>
        <w:rPr>
          <w:b/>
        </w:rPr>
        <w:t xml:space="preserve">Confidentiality of records and information</w:t>
      </w:r>
    </w:p>
    <w:p>
      <w:pPr>
        <w:jc w:val="both"/>
        <w:spacing w:before="100" w:after="100"/>
        <w:ind w:start="360"/>
        <w:ind w:firstLine="360"/>
      </w:pPr>
      <w:r>
        <w:rPr/>
      </w:r>
      <w:r>
        <w:rPr/>
      </w:r>
      <w:r>
        <w:t xml:space="preserve">For the purposes of </w:t>
      </w:r>
      <w:r>
        <w:t>Title 1, section 402, subsection 3</w:t>
      </w:r>
      <w:r>
        <w:t xml:space="preserve">, the types of records and information listed in </w:t>
      </w:r>
      <w:r>
        <w:t>section 1006, subsection 1</w:t>
      </w:r>
      <w:r>
        <w:t xml:space="preserve"> when collected by or provided to the commission are designated as confidential and may not be disclosed except as provided in </w:t>
      </w:r>
      <w:r>
        <w:t>section 1006, subsection 2</w:t>
      </w:r>
      <w:r>
        <w:t xml:space="preserve">. This section applies to information or records included in an application or materials required by the commission for issuance of a commercial track license, including records obtained or developed by the commission related to an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2007, c. 483,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§270-A. Confidentiality of records and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§270-A. Confidentiality of records and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§270-A. CONFIDENTIALITY OF RECORDS AND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