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w:t>
        <w:t xml:space="preserve">.  </w:t>
      </w:r>
      <w:r>
        <w:rPr>
          <w:b/>
        </w:rPr>
        <w:t xml:space="preserve">Races</w:t>
      </w:r>
    </w:p>
    <w:p>
      <w:pPr>
        <w:jc w:val="both"/>
        <w:spacing w:before="100" w:after="100"/>
        <w:ind w:start="360"/>
        <w:ind w:firstLine="360"/>
      </w:pPr>
      <w:r>
        <w:rPr/>
      </w:r>
      <w:r>
        <w:rPr/>
      </w:r>
      <w:r>
        <w:t xml:space="preserve">No person, association or corporation shall hold, conduct or operate any harness horse race or meet for public exhibition, if pari-mutuel betting is permitted, within the State without a license from the commission.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 Races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 Races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§269. RACES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