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1014</w:t>
        <w:t xml:space="preserve">.  </w:t>
      </w:r>
      <w:r>
        <w:rPr>
          <w:b/>
        </w:rPr>
        <w:t xml:space="preserve">Licensing of gambling services vendors</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provide gambling services in the State unless the person is licensed as a gambling services vendor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w:t>
        <w:t xml:space="preserve">.  </w:t>
      </w:r>
      <w:r>
        <w:rPr>
          <w:b/>
        </w:rPr>
        <w:t xml:space="preserve">Requirements for license.</w:t>
        <w:t xml:space="preserve"> </w:t>
      </w:r>
      <w:r>
        <w:t xml:space="preserve"> </w:t>
      </w:r>
      <w:r>
        <w:t xml:space="preserve">The board may issue a gambling services vendor license to an applicant that meets the qualifications set out in </w:t>
      </w:r>
      <w:r>
        <w:t>sections 1016</w:t>
      </w:r>
      <w:r>
        <w:t xml:space="preserve"> and </w:t>
      </w:r>
      <w:r>
        <w:t>1019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§1014. Licensing of gambling services vendors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§1014. Licensing of gambling services vendors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§1014. LICENSING OF GAMBLING SERVICES VENDORS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