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1014</w:t>
        <w:t xml:space="preserve">.  </w:t>
      </w:r>
      <w:r>
        <w:rPr>
          <w:b/>
        </w:rPr>
        <w:t xml:space="preserve">Licensing of gambling services vendors</w:t>
      </w:r>
    </w:p>
    <w:p>
      <w:pPr>
        <w:jc w:val="both"/>
        <w:spacing w:before="100" w:after="0"/>
        <w:ind w:start="360"/>
        <w:ind w:firstLine="360"/>
      </w:pPr>
      <w:r>
        <w:rPr>
          <w:b/>
        </w:rPr>
        <w:t>1</w:t>
        <w:t xml:space="preserve">.  </w:t>
      </w:r>
      <w:r>
        <w:rPr>
          <w:b/>
        </w:rPr>
        <w:t xml:space="preserve">License required.</w:t>
        <w:t xml:space="preserve"> </w:t>
      </w:r>
      <w:r>
        <w:t xml:space="preserve"> </w:t>
      </w:r>
      <w:r>
        <w:t xml:space="preserve">A person may not provide gambling services in the State unless the person is licensed as a gambling services vendor by the board.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2003, c. 687, Pt. A, §5 (NEW); PL 2003, c. 687, Pt. B, §11 (AFF).]</w:t>
      </w:r>
    </w:p>
    <w:p>
      <w:pPr>
        <w:jc w:val="both"/>
        <w:spacing w:before="100" w:after="0"/>
        <w:ind w:start="360"/>
        <w:ind w:firstLine="360"/>
      </w:pPr>
      <w:r>
        <w:rPr>
          <w:b/>
        </w:rPr>
        <w:t>2</w:t>
        <w:t xml:space="preserve">.  </w:t>
      </w:r>
      <w:r>
        <w:rPr>
          <w:b/>
        </w:rPr>
        <w:t xml:space="preserve">Requirements for license.</w:t>
        <w:t xml:space="preserve"> </w:t>
      </w:r>
      <w:r>
        <w:t xml:space="preserve"> </w:t>
      </w:r>
      <w:r>
        <w:t xml:space="preserve">The board may issue a gambling services vendor license to an applicant that meets the qualifications set out in </w:t>
      </w:r>
      <w:r>
        <w:t>sections 1016</w:t>
      </w:r>
      <w:r>
        <w:t xml:space="preserve"> and </w:t>
      </w:r>
      <w:r>
        <w:t>1019</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2003, c. 687, Pt. A, §5 (NEW); PL 2003, c. 687, Pt. B, §11 (AFF).]</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2003, c. 687, §A5 (NEW). PL 2003, c. 687, §B11 (AFF).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§1014. Licensing of gambling services vendors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§1014. Licensing of gambling services vendors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8, §1014. LICENSING OF GAMBLING SERVICES VENDORS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