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1008</w:t>
        <w:t xml:space="preserve">.  </w:t>
      </w:r>
      <w:r>
        <w:rPr>
          <w:b/>
        </w:rPr>
        <w:t xml:space="preserve">Hearings and proceedings</w:t>
      </w:r>
    </w:p>
    <w:p>
      <w:pPr>
        <w:jc w:val="both"/>
        <w:spacing w:before="100" w:after="100"/>
        <w:ind w:start="360"/>
        <w:ind w:firstLine="360"/>
      </w:pPr>
      <w:r>
        <w:rPr/>
      </w:r>
      <w:r>
        <w:rPr/>
      </w:r>
      <w:r>
        <w:t xml:space="preserve">Notwithstanding </w:t>
      </w:r>
      <w:r>
        <w:t>section 1006</w:t>
      </w:r>
      <w:r>
        <w:t xml:space="preserve">, the confidentiality of records and information used or produced in connection with hearings, proceedings or appeals under </w:t>
      </w:r>
      <w:r>
        <w:t>subchapter 5</w:t>
      </w:r>
      <w:r>
        <w:t xml:space="preserve"> regarding noncompliance with or violation of this chapter are governed by the provisions of </w:t>
      </w:r>
      <w:r>
        <w:t>section 1052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§1008. Hearings and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§1008. Hearings and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§1008. HEARINGS AND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