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951-B</w:t>
        <w:t xml:space="preserve">.  </w:t>
      </w:r>
      <w:r>
        <w:rPr>
          <w:b/>
        </w:rPr>
        <w:t xml:space="preserve">Compliance with official standards</w:t>
      </w:r>
    </w:p>
    <w:p>
      <w:pPr>
        <w:jc w:val="both"/>
        <w:spacing w:before="100" w:after="100"/>
        <w:ind w:start="360"/>
        <w:ind w:firstLine="360"/>
      </w:pPr>
      <w:r>
        <w:rPr/>
      </w:r>
      <w:r>
        <w:rPr/>
      </w:r>
      <w:r>
        <w:t xml:space="preserve">To achieve compliance with official standards, the commissioner may adopt, consistent with this Article and with </w:t>
      </w:r>
      <w:r>
        <w:t>section 402</w:t>
      </w:r>
      <w:r>
        <w:t xml:space="preserve">, a fee schedule for inspection of potatoes. The potato inspection fee schedule may provide for a lower inspection rate for any person who is packing potatoes in a Maine bag as defined by </w:t>
      </w:r>
      <w:r>
        <w:t>section 1032,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§3 (NEW). PL 1981, c. 540,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§951-B. Compliance with official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§951-B. Compliance with official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§951-B. COMPLIANCE WITH OFFICIAL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