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764-A</w:t>
        <w:t xml:space="preserve">.  </w:t>
      </w:r>
      <w:r>
        <w:rPr>
          <w:b/>
        </w:rPr>
        <w:t xml:space="preserve">Exemption for industrial by-products</w:t>
      </w:r>
    </w:p>
    <w:p>
      <w:pPr>
        <w:jc w:val="both"/>
        <w:spacing w:before="100" w:after="100"/>
        <w:ind w:start="360"/>
        <w:ind w:firstLine="360"/>
      </w:pPr>
      <w:r>
        <w:rPr/>
      </w:r>
      <w:r>
        <w:rPr/>
      </w:r>
      <w:r>
        <w:t>Section 764</w:t>
      </w:r>
      <w:r>
        <w:t xml:space="preserve"> does not apply to unpackaged industrial by-products derived primarily from residuals regulated by </w:t>
      </w:r>
      <w:r>
        <w:t>Title 38, chapter 13</w:t>
      </w:r>
      <w:r>
        <w:t xml:space="preserve"> and by rules adopted by the Department of Environmental Protection governing solid waste management matters concerning composting facilities and the agronomic utilization of residuals when those industrial by-products include a legible and conspicuous disclaimer on their marketing materials and labeling specifically stating: "This product is an industrial by-product, and any claims of neutralizing value and fineness are not guarantees."</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w:pPr>
        <w:jc w:val="both"/>
        <w:spacing w:before="100" w:after="100"/>
        <w:ind w:start="360"/>
        <w:ind w:firstLine="360"/>
      </w:pPr>
      <w:r>
        <w:rPr/>
      </w:r>
      <w:r>
        <w:rPr/>
      </w:r>
      <w:r>
        <w:t xml:space="preserve">Industrial by-products exempted under this section need not comply with </w:t>
      </w:r>
      <w:r>
        <w:t>sections 765</w:t>
      </w:r>
      <w:r>
        <w:t xml:space="preserve"> and </w:t>
      </w:r>
      <w:r>
        <w:t>766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§764-A. Exemption for industrial by-products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§764-A. Exemption for industrial by-products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§764-A. EXEMPTION FOR INDUSTRIAL BY-PRODUCTS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