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749</w:t>
        <w:t xml:space="preserve">.  </w:t>
      </w:r>
      <w:r>
        <w:rPr>
          <w:b/>
        </w:rPr>
        <w:t xml:space="preserve">Enforcement</w:t>
      </w:r>
    </w:p>
    <w:p>
      <w:pPr>
        <w:jc w:val="both"/>
        <w:spacing w:before="100" w:after="100"/>
        <w:ind w:start="360"/>
        <w:ind w:firstLine="360"/>
      </w:pPr>
      <w:r>
        <w:rPr/>
      </w:r>
      <w:r>
        <w:rPr/>
      </w:r>
      <w:r>
        <w:t xml:space="preserve">This subchapter shall be administered by the commissioner.</w:t>
      </w:r>
      <w:r>
        <w:t xml:space="preserve">  </w:t>
      </w:r>
      <w:r xmlns:wp="http://schemas.openxmlformats.org/drawingml/2010/wordprocessingDrawing" xmlns:w15="http://schemas.microsoft.com/office/word/2012/wordml">
        <w:rPr>
          <w:rFonts w:ascii="Arial" w:hAnsi="Arial" w:cs="Arial"/>
          <w:sz w:val="22"/>
          <w:szCs w:val="22"/>
        </w:rPr>
        <w:t xml:space="preserve">[PL 1979, c. 541, Pt. A, §55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§A55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§749.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§749.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§749.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