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Penalties</w:t>
      </w:r>
    </w:p>
    <w:p>
      <w:pPr>
        <w:jc w:val="both"/>
        <w:spacing w:before="100" w:after="100"/>
        <w:ind w:start="360"/>
        <w:ind w:firstLine="360"/>
      </w:pPr>
      <w:r>
        <w:rPr/>
      </w:r>
      <w:r>
        <w:rPr/>
      </w:r>
      <w:r>
        <w:t xml:space="preserve">A person who violates a provision of this subchapter commits a civil violation for which a forfeiture of not less than $100 nor more than $500 may be adjudged.  A person is not subject to the penalties provided in this section if the person establishes a written guarantee or undertaking in which is furnished the name and address of the manufacturer or distributor, and the statement that the person received the products in good faith in reliance upon the manufacturer or distributor to the effect that such products were manufactured and labeled in compliance with this subchapter or with federal law that may relate to the regulations of the distribution of hazardous substances covered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421, Pt. B, §5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696, §60 (AMD). PL 2001, c. 421, §B5 (AMD).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§512.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