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§3950-B. Euthanasia for severely sick or severely injured livestock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§3950-B. Euthanasia for severely sick or severely injured livestock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§3950-B. EUTHANASIA FOR SEVERELY SICK OR SEVERELY INJURED LIVESTOCK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