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§3945. USE OF LICENSE FEES AND COURT FINES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