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3935</w:t>
        <w:t xml:space="preserve">.  </w:t>
      </w:r>
      <w:r>
        <w:rPr>
          <w:b/>
        </w:rPr>
        <w:t xml:space="preserve">License prohibited</w:t>
      </w:r>
    </w:p>
    <w:p>
      <w:pPr>
        <w:jc w:val="both"/>
        <w:spacing w:before="100" w:after="100"/>
        <w:ind w:start="360"/>
        <w:ind w:firstLine="360"/>
      </w:pPr>
      <w:r>
        <w:rPr/>
      </w:r>
      <w:r>
        <w:rPr/>
      </w:r>
      <w:r>
        <w:t xml:space="preserve">The department may not issue a license to maintain a facility required to be licensed under this chapter to an individual who, within the 10 years previous to the application for the license, has been convicted of murder, a Class A or Class B offense, a violation under </w:t>
      </w:r>
      <w:r>
        <w:t>Title 17‑A, chapter 9</w:t>
      </w:r>
      <w:r>
        <w:t xml:space="preserve">, </w:t>
      </w:r>
      <w:r>
        <w:t>11</w:t>
      </w:r>
      <w:r>
        <w:t xml:space="preserve">, </w:t>
      </w:r>
      <w:r>
        <w:t>12</w:t>
      </w:r>
      <w:r>
        <w:t xml:space="preserve"> or </w:t>
      </w:r>
      <w:r>
        <w:t>13</w:t>
      </w:r>
      <w:r>
        <w:t xml:space="preserve"> or a criminal violation under </w:t>
      </w:r>
      <w:r>
        <w:t>Title 17, chapter 42</w:t>
      </w:r>
      <w:r>
        <w:t xml:space="preserve"> or under a criminal law involving cruelty to animals that is no longer in effect or, within 10 years previous to the application for the license, has been adjudicated of a civil violation for cruelty to animals under </w:t>
      </w:r>
      <w:r>
        <w:t>chapter 739</w:t>
      </w:r>
      <w:r>
        <w:t xml:space="preserve"> or has been convicted or adjudicated in any other state, provincial or federal court of a violation similar to those specified in this section.  An individual who submits an application to be licensed under this chapter shall submit the results of a background check to the department along with the license application.  The individual shall pay for the background check.</w:t>
      </w:r>
      <w:r>
        <w:t xml:space="preserve">  </w:t>
      </w:r>
      <w:r xmlns:wp="http://schemas.openxmlformats.org/drawingml/2010/wordprocessingDrawing" xmlns:w15="http://schemas.microsoft.com/office/word/2012/wordml">
        <w:rPr>
          <w:rFonts w:ascii="Arial" w:hAnsi="Arial" w:cs="Arial"/>
          <w:sz w:val="22"/>
          <w:szCs w:val="22"/>
        </w:rPr>
        <w:t xml:space="preserve">[PL 2025, c. 414, §13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§14 (AMD). PL 1993, c. 657, §35 (AMD). PL 2005, c. 422, §8 (AMD). PL 2007, c. 439, §21 (AMD). PL 2009, c. 343, §17 (AMD). PL 2025, c. 414,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§3935. License prohibited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§3935. License prohibited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§3935. LICENSE PROHIBITED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