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Integrated Pest Management Fund</w:t>
      </w:r>
    </w:p>
    <w:p>
      <w:pPr>
        <w:jc w:val="both"/>
        <w:spacing w:before="100" w:after="100"/>
        <w:ind w:start="360"/>
        <w:ind w:firstLine="360"/>
      </w:pPr>
      <w:r>
        <w:rPr/>
      </w:r>
      <w:r>
        <w:rPr/>
      </w:r>
      <w:r>
        <w:t xml:space="preserve">There is created a dedicated, nonlapsing Integrated Pest Management Fund.  The commissioner shall credit funds from any source to the Integrated Pest Management Fund for the purpose of developing and implementing integrated pest management programs.  Appropriations from the General Fund may not be credited to the Integrated Pest Management Fund.</w:t>
      </w:r>
      <w:r>
        <w:t xml:space="preserve">  </w:t>
      </w:r>
      <w:r xmlns:wp="http://schemas.openxmlformats.org/drawingml/2010/wordprocessingDrawing" xmlns:w15="http://schemas.microsoft.com/office/word/2012/wordml">
        <w:rPr>
          <w:rFonts w:ascii="Arial" w:hAnsi="Arial" w:cs="Arial"/>
          <w:sz w:val="22"/>
          <w:szCs w:val="22"/>
        </w:rPr>
        <w:t xml:space="preserve">[PL 2001, c. 497,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§2405. Integrated Pest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Integrated Pest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§2405. INTEGRATED PEST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