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548, §1 (NEW).]</w:t>
      </w:r>
    </w:p>
    <w:p>
      <w:pPr>
        <w:jc w:val="both"/>
        <w:spacing w:before="100" w:after="0"/>
        <w:ind w:start="360"/>
        <w:ind w:firstLine="360"/>
      </w:pPr>
      <w:r>
        <w:rPr>
          <w:b/>
        </w:rPr>
        <w:t>1</w:t>
        <w:t xml:space="preserve">.  </w:t>
      </w:r>
      <w:r>
        <w:rPr>
          <w:b/>
        </w:rPr>
        <w:t xml:space="preserve">Ginseng.</w:t>
        <w:t xml:space="preserve"> </w:t>
      </w:r>
      <w:r>
        <w:t xml:space="preserve"> </w:t>
      </w:r>
      <w:r>
        <w:t xml:space="preserve">"Ginseng" means any part of the plant known as Wild American Ginseng (Panax quinquefolius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