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2216</w:t>
        <w:t xml:space="preserve">.  </w:t>
      </w:r>
      <w:r>
        <w:rPr>
          <w:b/>
        </w:rPr>
        <w:t xml:space="preserve">Violations</w:t>
      </w:r>
    </w:p>
    <w:p>
      <w:pPr>
        <w:jc w:val="both"/>
        <w:spacing w:before="100" w:after="100"/>
        <w:ind w:start="360"/>
        <w:ind w:firstLine="360"/>
      </w:pPr>
      <w:r>
        <w:rPr/>
      </w:r>
      <w:r>
        <w:rPr/>
      </w:r>
      <w:r>
        <w:t xml:space="preserve">Any violation of this chapter or rules adopted pursuant to </w:t>
      </w:r>
      <w:r>
        <w:t>section 2217</w:t>
      </w:r>
      <w:r>
        <w:t xml:space="preserve"> is a civil violation for which a forfeiture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§2216.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§2216.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§2216.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