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2188</w:t>
        <w:t xml:space="preserve">.  </w:t>
      </w:r>
      <w:r>
        <w:rPr>
          <w:b/>
        </w:rPr>
        <w:t xml:space="preserve">Fees</w:t>
      </w:r>
    </w:p>
    <w:p>
      <w:pPr>
        <w:jc w:val="both"/>
        <w:spacing w:before="100" w:after="100"/>
        <w:ind w:start="360"/>
        <w:ind w:firstLine="360"/>
      </w:pPr>
      <w:r>
        <w:rPr/>
      </w:r>
      <w:r>
        <w:rPr/>
      </w:r>
      <w:r>
        <w:t xml:space="preserve">An application fee and an examination fee may be established by the department in amounts that are reasonable and necessary for their respective purposes.  After an applicant is notified of the applicant's eligibility for a license following examination, the applicant shall submit the annual license fee before a license is issued.</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The fee for an original or renewal annual license may not exceed $180.</w:t>
      </w:r>
      <w:r>
        <w:t xml:space="preserve">  </w:t>
      </w:r>
      <w:r xmlns:wp="http://schemas.openxmlformats.org/drawingml/2010/wordprocessingDrawing" xmlns:w15="http://schemas.microsoft.com/office/word/2012/wordml">
        <w:rPr>
          <w:rFonts w:ascii="Arial" w:hAnsi="Arial" w:cs="Arial"/>
          <w:sz w:val="22"/>
          <w:szCs w:val="22"/>
        </w:rPr>
        <w:t xml:space="preserve">[PL 2025, c. 388, Pt. T, §1 (AMD).]</w:t>
      </w:r>
    </w:p>
    <w:p>
      <w:pPr>
        <w:jc w:val="both"/>
        <w:spacing w:before="100" w:after="100"/>
        <w:ind w:start="360"/>
        <w:ind w:firstLine="360"/>
      </w:pPr>
      <w:r>
        <w:rPr/>
      </w:r>
      <w:r>
        <w:rPr/>
      </w:r>
      <w:r>
        <w:t xml:space="preserve">All money, including application fees, examination fees and license fees received pursuant to this section, must be paid to the Treasurer of State and credited to a separate, nonlapsing account in the department.  Money received pursuant to this section must be used for the expenses of administering this chapter.</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PL 2025, c. 388, Pt. T,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§2188.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§2188.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§2188.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