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2187</w:t>
        <w:t xml:space="preserve">.  </w:t>
      </w:r>
      <w:r>
        <w:rPr>
          <w:b/>
        </w:rPr>
        <w:t xml:space="preserve">Renewals</w:t>
      </w:r>
    </w:p>
    <w:p>
      <w:pPr>
        <w:jc w:val="both"/>
        <w:spacing w:before="100" w:after="100"/>
        <w:ind w:start="360"/>
        <w:ind w:firstLine="360"/>
      </w:pPr>
      <w:r>
        <w:rPr/>
      </w:r>
      <w:r>
        <w:rPr/>
      </w:r>
      <w:r>
        <w:t xml:space="preserve">The department shall notify every person licensed under this subchapter of the date of expiration of that person's certificate and the fee required for its annual renewal. The notice must be mailed to the person's last known address at least 30 days in advance of the expiration of the license.  An application for a license renewal must contain whatever information is necessary for the department to determine whether the applicant may continue to hold a license and must be accompanied by the required fee, which is returnable if the applicant is denied a renewal license.  A licensed arborist must file an application and fee of $5 for replacement of a lost license.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§2187.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§2187.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§2187.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