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Statement of policy</w:t>
      </w:r>
    </w:p>
    <w:p>
      <w:pPr>
        <w:jc w:val="both"/>
        <w:spacing w:before="100" w:after="100"/>
        <w:ind w:start="360"/>
        <w:ind w:firstLine="360"/>
      </w:pPr>
      <w:r>
        <w:rPr/>
      </w:r>
      <w:r>
        <w:rPr/>
      </w:r>
      <w:r>
        <w:t xml:space="preserve">It is the policy of the State to encourage the procurement of Maine foods and food products by state institutions to increase the viability of Maine farms and food businesses, thus making a positive contribution to the State's economy and enhancing food self-sufficiency for the State.</w:t>
      </w:r>
      <w:r>
        <w:t xml:space="preserve">  </w:t>
      </w:r>
      <w:r xmlns:wp="http://schemas.openxmlformats.org/drawingml/2010/wordprocessingDrawing" xmlns:w15="http://schemas.microsoft.com/office/word/2012/wordml">
        <w:rPr>
          <w:rFonts w:ascii="Arial" w:hAnsi="Arial" w:cs="Arial"/>
          <w:sz w:val="22"/>
          <w:szCs w:val="22"/>
        </w:rPr>
        <w:t xml:space="preserve">[PL 2019,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2019, c. 677,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