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158</w:t>
        <w:t xml:space="preserve">.  </w:t>
      </w:r>
      <w:r>
        <w:rPr>
          <w:b/>
        </w:rPr>
        <w:t xml:space="preserve">Failure to adopt best management practices</w:t>
      </w:r>
    </w:p>
    <w:p>
      <w:pPr>
        <w:jc w:val="both"/>
        <w:spacing w:before="100" w:after="100"/>
        <w:ind w:start="360"/>
        <w:ind w:firstLine="360"/>
      </w:pPr>
      <w:r>
        <w:rPr/>
      </w:r>
      <w:r>
        <w:rPr/>
      </w:r>
      <w:r>
        <w:t xml:space="preserve">If the person responsible for a farm, farm operation or agricultural composting operation does not apply best management practices as required by the commissioner, the commissioner shall send a written report to an appropriate agency if a federal or state law has been violated and to the Attorney General.  The Attorney General may institute an action to abate a nuisance or to enforce the provisions of this chapter or any other applicable state law, and the court may order the abatement with costs as provided under </w:t>
      </w:r>
      <w:r>
        <w:t>Title 17, section 2702</w:t>
      </w:r>
      <w:r>
        <w:t xml:space="preserve">, such injunctive relief as provided in this section or by other applicable law, or that a civil violation has been committed. Failure to apply best management practices in accordance with this chapter constitutes a separate civil violation for which a fine of up to $1,000, together with an additional fine of up to $250 per day for every day that the violation continues, may be adjudged.</w:t>
      </w:r>
      <w:r>
        <w:t xml:space="preserve">  </w:t>
      </w:r>
      <w:r xmlns:wp="http://schemas.openxmlformats.org/drawingml/2010/wordprocessingDrawing" xmlns:w15="http://schemas.microsoft.com/office/word/2012/wordml">
        <w:rPr>
          <w:rFonts w:ascii="Arial" w:hAnsi="Arial" w:cs="Arial"/>
          <w:sz w:val="22"/>
          <w:szCs w:val="22"/>
        </w:rPr>
        <w:t xml:space="preserve">[PL 2007, c. 649,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§158. Failure to adopt best management practices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§158. Failure to adopt best management practices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§158. FAILURE TO ADOPT BEST MANAGEMENT PRACTICES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