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Purpose</w:t>
      </w:r>
    </w:p>
    <w:p>
      <w:pPr>
        <w:jc w:val="both"/>
        <w:spacing w:before="100" w:after="100"/>
        <w:ind w:start="360"/>
        <w:ind w:firstLine="360"/>
      </w:pPr>
      <w:r>
        <w:rPr/>
      </w:r>
      <w:r>
        <w:rPr/>
      </w:r>
      <w:r>
        <w:t xml:space="preserve">The purposes of this chapter are to maintain fair and equitable practices in the buying and selling of livestock and poultry within this State, and to encourage practices that promote the sale of healthy livestock and poultry. In respect to dealers in livestock and poultry this chapter supplements and does not supersede other provisions of the laws relating to the control of livestock and poultry diseases under this Title.</w:t>
      </w:r>
      <w:r>
        <w:t xml:space="preserve">  </w:t>
      </w:r>
      <w:r xmlns:wp="http://schemas.openxmlformats.org/drawingml/2010/wordprocessingDrawing" xmlns:w15="http://schemas.microsoft.com/office/word/2012/wordml">
        <w:rPr>
          <w:rFonts w:ascii="Arial" w:hAnsi="Arial" w:cs="Arial"/>
          <w:sz w:val="22"/>
          <w:szCs w:val="22"/>
        </w:rPr>
        <w:t xml:space="preserve">[PL 2001, c. 572,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2001, c. 572,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