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MARIJUANA LEGALIZATION ACT</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jc w:val="both"/>
        <w:spacing w:before="100" w:after="100"/>
        <w:ind w:start="1080" w:hanging="720"/>
      </w:pPr>
      <w:r>
        <w:rPr>
          <w:b/>
        </w:rPr>
        <w:t>§</w:t>
        <w:t>2449</w:t>
        <w:t xml:space="preserve">.  </w:t>
      </w:r>
      <w:r>
        <w:rPr>
          <w:b/>
        </w:rPr>
        <w:t xml:space="preserve">Local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§11 (AMD). PL 2017, c. 409, Pt. A, §3 (RP). </w:t>
      </w:r>
    </w:p>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 MARIJUANA LEGALIZATION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MARIJUANA LEGALIZATION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417. MARIJUANA LEGALIZATION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