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Pt. D,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Pt. D,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§957.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