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8063</w:t>
        <w:t xml:space="preserve">.  </w:t>
      </w:r>
      <w:r>
        <w:rPr>
          <w:b/>
        </w:rPr>
        <w:t xml:space="preserve">Fiscal impact</w:t>
      </w:r>
    </w:p>
    <w:p>
      <w:pPr>
        <w:jc w:val="both"/>
        <w:spacing w:before="100" w:after="100"/>
        <w:ind w:start="360"/>
        <w:ind w:firstLine="360"/>
      </w:pPr>
      <w:r>
        <w:rPr/>
      </w:r>
      <w:r>
        <w:rPr/>
      </w:r>
      <w:r>
        <w:t xml:space="preserve">Every rule proposed by an agency must contain a fiscal impact note at the end of the rule.  The note must be placed on the rule prior to any public hearing and, in the case of rules adopted without a hearing, prior to the sending of notice under </w:t>
      </w:r>
      <w:r>
        <w:t>section 8053</w:t>
      </w:r>
      <w:r>
        <w:t xml:space="preserve">.  The fiscal impact note must describe the estimated cost to municipalities and counties for implementing or complying with the proposed rule.  If the proposed rule will not impose any cost on municipalities or counties, the fiscal impact note must state that fact.</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w:pPr>
        <w:jc w:val="both"/>
        <w:spacing w:before="100" w:after="100"/>
        <w:ind w:start="360"/>
        <w:ind w:firstLine="360"/>
      </w:pPr>
      <w:r>
        <w:rPr/>
      </w:r>
      <w:r>
        <w:rPr/>
      </w:r>
      <w:r>
        <w:t xml:space="preserve">This section does not apply to emergency rules.</w:t>
      </w:r>
      <w:r>
        <w:t xml:space="preserve">  </w:t>
      </w:r>
      <w:r xmlns:wp="http://schemas.openxmlformats.org/drawingml/2010/wordprocessingDrawing" xmlns:w15="http://schemas.microsoft.com/office/word/2012/wordml">
        <w:rPr>
          <w:rFonts w:ascii="Arial" w:hAnsi="Arial" w:cs="Arial"/>
          <w:sz w:val="22"/>
          <w:szCs w:val="22"/>
        </w:rPr>
        <w:t xml:space="preserve">[PL 1991, c. 233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§8063. Fiscal impact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§8063. Fiscal impact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§8063. FISCAL IMPACT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