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§5 (COR); RR 2023, c. 1,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§3 (REV). RR 2023, c. 1, §5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§7035.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